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18B6" w14:textId="4EC4D2E0" w:rsidR="00FE7CD2" w:rsidRPr="00BD1B52" w:rsidRDefault="00FE7CD2" w:rsidP="00FE7CD2">
      <w:pPr>
        <w:pStyle w:val="Heading1"/>
        <w:jc w:val="center"/>
        <w:rPr>
          <w:b/>
          <w:bCs/>
        </w:rPr>
      </w:pPr>
      <w:r w:rsidRPr="00BD1B52">
        <w:rPr>
          <w:b/>
          <w:bCs/>
        </w:rPr>
        <w:t>Quarterly Report Guidelines and Data Reports</w:t>
      </w:r>
    </w:p>
    <w:p w14:paraId="35C860BF" w14:textId="31815DD8" w:rsidR="00FE7CD2" w:rsidRDefault="002A5A6C" w:rsidP="00FE7CD2">
      <w:r>
        <w:t xml:space="preserve">For MIS to display the </w:t>
      </w:r>
      <w:r w:rsidR="00FE7CD2">
        <w:t xml:space="preserve">correct quarter dates on reports, you must update the contract dates yearly. To do so, </w:t>
      </w:r>
    </w:p>
    <w:p w14:paraId="6908267C" w14:textId="47D5ED40" w:rsidR="00FE7CD2" w:rsidRDefault="00DB5427" w:rsidP="00DB5427">
      <w:pPr>
        <w:pStyle w:val="ListParagraph"/>
        <w:numPr>
          <w:ilvl w:val="0"/>
          <w:numId w:val="1"/>
        </w:numPr>
      </w:pPr>
      <w:r>
        <w:t>Click on Settings</w:t>
      </w:r>
    </w:p>
    <w:p w14:paraId="70664C1A" w14:textId="13A39FE8" w:rsidR="00DB5427" w:rsidRDefault="00DB5427" w:rsidP="00DB5427">
      <w:pPr>
        <w:pStyle w:val="ListParagraph"/>
        <w:numPr>
          <w:ilvl w:val="0"/>
          <w:numId w:val="1"/>
        </w:numPr>
      </w:pPr>
      <w:r>
        <w:t>Click on Program Information Form</w:t>
      </w:r>
    </w:p>
    <w:p w14:paraId="5EB963FC" w14:textId="185E5673" w:rsidR="00DB5427" w:rsidRDefault="00DB5427" w:rsidP="00DB5427">
      <w:pPr>
        <w:rPr>
          <w:noProof/>
        </w:rPr>
      </w:pPr>
      <w:r>
        <w:rPr>
          <w:noProof/>
        </w:rPr>
        <w:drawing>
          <wp:inline distT="0" distB="0" distL="0" distR="0" wp14:anchorId="1567BE89" wp14:editId="23A4DBCA">
            <wp:extent cx="5805378" cy="2667000"/>
            <wp:effectExtent l="19050" t="19050" r="24130" b="1905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833424" cy="2679884"/>
                    </a:xfrm>
                    <a:prstGeom prst="rect">
                      <a:avLst/>
                    </a:prstGeom>
                    <a:ln>
                      <a:solidFill>
                        <a:schemeClr val="accent1"/>
                      </a:solidFill>
                    </a:ln>
                  </pic:spPr>
                </pic:pic>
              </a:graphicData>
            </a:graphic>
          </wp:inline>
        </w:drawing>
      </w:r>
    </w:p>
    <w:p w14:paraId="3DEBF020" w14:textId="22AA9F09" w:rsidR="00732825" w:rsidRDefault="00732825" w:rsidP="00DB5427">
      <w:pPr>
        <w:rPr>
          <w:noProof/>
        </w:rPr>
      </w:pPr>
    </w:p>
    <w:p w14:paraId="723C3B51" w14:textId="34362F2A" w:rsidR="00DB5427" w:rsidRDefault="00DB5427" w:rsidP="00DB5427">
      <w:pPr>
        <w:pStyle w:val="ListParagraph"/>
        <w:numPr>
          <w:ilvl w:val="0"/>
          <w:numId w:val="1"/>
        </w:numPr>
      </w:pPr>
      <w:r>
        <w:t>Click on Contract tab</w:t>
      </w:r>
      <w:r w:rsidR="002A5A6C">
        <w:t>.</w:t>
      </w:r>
    </w:p>
    <w:p w14:paraId="6702316E" w14:textId="147E540E" w:rsidR="00DB5427" w:rsidRDefault="00DB5427" w:rsidP="00DB5427">
      <w:pPr>
        <w:pStyle w:val="ListParagraph"/>
        <w:numPr>
          <w:ilvl w:val="0"/>
          <w:numId w:val="1"/>
        </w:numPr>
      </w:pPr>
      <w:r>
        <w:t>Enter Contract Start and End date</w:t>
      </w:r>
      <w:r w:rsidR="002A5A6C">
        <w:t>.</w:t>
      </w:r>
    </w:p>
    <w:p w14:paraId="051AA3B0" w14:textId="4AF9E236" w:rsidR="00DB5427" w:rsidRDefault="00DB5427" w:rsidP="00DB5427">
      <w:r>
        <w:rPr>
          <w:noProof/>
        </w:rPr>
        <w:drawing>
          <wp:inline distT="0" distB="0" distL="0" distR="0" wp14:anchorId="4136C445" wp14:editId="53CEA273">
            <wp:extent cx="5148072" cy="3136392"/>
            <wp:effectExtent l="19050" t="19050" r="14605" b="26035"/>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148072" cy="3136392"/>
                    </a:xfrm>
                    <a:prstGeom prst="rect">
                      <a:avLst/>
                    </a:prstGeom>
                    <a:ln>
                      <a:solidFill>
                        <a:schemeClr val="accent1"/>
                      </a:solidFill>
                    </a:ln>
                  </pic:spPr>
                </pic:pic>
              </a:graphicData>
            </a:graphic>
          </wp:inline>
        </w:drawing>
      </w:r>
    </w:p>
    <w:p w14:paraId="1CF52A12" w14:textId="77777777" w:rsidR="0059080F" w:rsidRPr="00BD1B52" w:rsidRDefault="0059080F" w:rsidP="0059080F">
      <w:pPr>
        <w:pStyle w:val="Heading1"/>
        <w:jc w:val="center"/>
        <w:rPr>
          <w:b/>
          <w:bCs/>
        </w:rPr>
      </w:pPr>
      <w:r w:rsidRPr="00BD1B52">
        <w:rPr>
          <w:b/>
          <w:bCs/>
        </w:rPr>
        <w:lastRenderedPageBreak/>
        <w:t>Quarterly Report Guidelines and Data Reports</w:t>
      </w:r>
    </w:p>
    <w:p w14:paraId="462FBEC0" w14:textId="25B37982" w:rsidR="0059080F" w:rsidRPr="0059080F" w:rsidRDefault="0059080F" w:rsidP="0059080F">
      <w:r>
        <w:t>Your quarterly report will include the following MIS reports</w:t>
      </w:r>
      <w:r w:rsidR="00B939AF">
        <w:t>:</w:t>
      </w:r>
    </w:p>
    <w:tbl>
      <w:tblPr>
        <w:tblStyle w:val="TableGrid"/>
        <w:tblW w:w="0" w:type="auto"/>
        <w:tblLook w:val="04A0" w:firstRow="1" w:lastRow="0" w:firstColumn="1" w:lastColumn="0" w:noHBand="0" w:noVBand="1"/>
      </w:tblPr>
      <w:tblGrid>
        <w:gridCol w:w="3685"/>
        <w:gridCol w:w="1980"/>
        <w:gridCol w:w="1800"/>
        <w:gridCol w:w="1885"/>
      </w:tblGrid>
      <w:tr w:rsidR="00974D48" w14:paraId="103B72BF" w14:textId="77777777" w:rsidTr="009A7E85">
        <w:tc>
          <w:tcPr>
            <w:tcW w:w="3685" w:type="dxa"/>
          </w:tcPr>
          <w:p w14:paraId="4328CA2B" w14:textId="77777777" w:rsidR="00974D48" w:rsidRPr="00B939AF" w:rsidRDefault="00974D48" w:rsidP="009A7E85">
            <w:pPr>
              <w:pStyle w:val="Header"/>
              <w:tabs>
                <w:tab w:val="clear" w:pos="4680"/>
                <w:tab w:val="clear" w:pos="9360"/>
              </w:tabs>
              <w:rPr>
                <w:b/>
                <w:bCs/>
              </w:rPr>
            </w:pPr>
            <w:bookmarkStart w:id="0" w:name="_Hlk141107960"/>
            <w:r w:rsidRPr="00B939AF">
              <w:rPr>
                <w:b/>
                <w:bCs/>
              </w:rPr>
              <w:t>Report Title</w:t>
            </w:r>
          </w:p>
        </w:tc>
        <w:tc>
          <w:tcPr>
            <w:tcW w:w="1980" w:type="dxa"/>
          </w:tcPr>
          <w:p w14:paraId="0EE0B75B" w14:textId="77777777" w:rsidR="00974D48" w:rsidRPr="00B939AF" w:rsidRDefault="00974D48" w:rsidP="009A7E85">
            <w:pPr>
              <w:rPr>
                <w:b/>
                <w:bCs/>
              </w:rPr>
            </w:pPr>
            <w:r w:rsidRPr="00B939AF">
              <w:rPr>
                <w:b/>
                <w:bCs/>
              </w:rPr>
              <w:t>Report Catalog tab</w:t>
            </w:r>
          </w:p>
        </w:tc>
        <w:tc>
          <w:tcPr>
            <w:tcW w:w="1800" w:type="dxa"/>
          </w:tcPr>
          <w:p w14:paraId="5DE6C877" w14:textId="77777777" w:rsidR="00974D48" w:rsidRPr="00B939AF" w:rsidRDefault="00974D48" w:rsidP="009A7E85">
            <w:pPr>
              <w:rPr>
                <w:b/>
                <w:bCs/>
              </w:rPr>
            </w:pPr>
            <w:r w:rsidRPr="00B939AF">
              <w:rPr>
                <w:b/>
                <w:bCs/>
              </w:rPr>
              <w:t>Pages to include</w:t>
            </w:r>
          </w:p>
        </w:tc>
        <w:tc>
          <w:tcPr>
            <w:tcW w:w="1885" w:type="dxa"/>
          </w:tcPr>
          <w:p w14:paraId="79A57616" w14:textId="77777777" w:rsidR="00974D48" w:rsidRPr="00B939AF" w:rsidRDefault="00974D48" w:rsidP="009A7E85">
            <w:pPr>
              <w:rPr>
                <w:b/>
                <w:bCs/>
              </w:rPr>
            </w:pPr>
            <w:r w:rsidRPr="00B939AF">
              <w:rPr>
                <w:b/>
                <w:bCs/>
              </w:rPr>
              <w:sym w:font="Symbol" w:char="F0D6"/>
            </w:r>
            <w:r w:rsidRPr="00B939AF">
              <w:rPr>
                <w:b/>
                <w:bCs/>
              </w:rPr>
              <w:t xml:space="preserve">= data received </w:t>
            </w:r>
          </w:p>
          <w:p w14:paraId="5BB029AB" w14:textId="77777777" w:rsidR="00974D48" w:rsidRPr="00B939AF" w:rsidRDefault="00974D48" w:rsidP="009A7E85">
            <w:pPr>
              <w:rPr>
                <w:b/>
                <w:bCs/>
              </w:rPr>
            </w:pPr>
            <w:r w:rsidRPr="00B939AF">
              <w:rPr>
                <w:b/>
                <w:bCs/>
              </w:rPr>
              <w:sym w:font="Symbol" w:char="F043"/>
            </w:r>
            <w:r w:rsidRPr="00B939AF">
              <w:rPr>
                <w:b/>
                <w:bCs/>
              </w:rPr>
              <w:t>= data not submitted</w:t>
            </w:r>
          </w:p>
        </w:tc>
      </w:tr>
      <w:tr w:rsidR="00974D48" w14:paraId="49FB570C" w14:textId="77777777" w:rsidTr="009A7E85">
        <w:tc>
          <w:tcPr>
            <w:tcW w:w="3685" w:type="dxa"/>
          </w:tcPr>
          <w:p w14:paraId="53ADB2E5" w14:textId="77777777" w:rsidR="00974D48" w:rsidRDefault="00974D48" w:rsidP="009A7E85">
            <w:pPr>
              <w:pStyle w:val="Header"/>
              <w:tabs>
                <w:tab w:val="clear" w:pos="4680"/>
                <w:tab w:val="clear" w:pos="9360"/>
              </w:tabs>
            </w:pPr>
            <w:r>
              <w:t>Home Visit Log Summary</w:t>
            </w:r>
          </w:p>
          <w:p w14:paraId="49B4ED28" w14:textId="77777777" w:rsidR="00974D48" w:rsidRDefault="00974D48" w:rsidP="009A7E85">
            <w:pPr>
              <w:pStyle w:val="Header"/>
              <w:tabs>
                <w:tab w:val="clear" w:pos="4680"/>
                <w:tab w:val="clear" w:pos="9360"/>
              </w:tabs>
            </w:pPr>
          </w:p>
        </w:tc>
        <w:tc>
          <w:tcPr>
            <w:tcW w:w="1980" w:type="dxa"/>
          </w:tcPr>
          <w:p w14:paraId="3CFAFBF0" w14:textId="77777777" w:rsidR="00974D48" w:rsidRDefault="00974D48" w:rsidP="009A7E85">
            <w:r>
              <w:t>Quarterlies</w:t>
            </w:r>
          </w:p>
        </w:tc>
        <w:tc>
          <w:tcPr>
            <w:tcW w:w="1800" w:type="dxa"/>
          </w:tcPr>
          <w:p w14:paraId="039FE8F4" w14:textId="77777777" w:rsidR="00974D48" w:rsidRDefault="00974D48" w:rsidP="009A7E85">
            <w:r>
              <w:t>All</w:t>
            </w:r>
          </w:p>
        </w:tc>
        <w:tc>
          <w:tcPr>
            <w:tcW w:w="1885" w:type="dxa"/>
          </w:tcPr>
          <w:p w14:paraId="28B8860D" w14:textId="77777777" w:rsidR="00974D48" w:rsidRPr="0059080F" w:rsidRDefault="00974D48" w:rsidP="009A7E85">
            <w:pPr>
              <w:rPr>
                <w:b/>
                <w:bCs/>
              </w:rPr>
            </w:pPr>
          </w:p>
        </w:tc>
      </w:tr>
      <w:tr w:rsidR="00974D48" w14:paraId="59B64AAA" w14:textId="77777777" w:rsidTr="009A7E85">
        <w:tc>
          <w:tcPr>
            <w:tcW w:w="3685" w:type="dxa"/>
          </w:tcPr>
          <w:p w14:paraId="4A473549" w14:textId="77777777" w:rsidR="00974D48" w:rsidRDefault="00974D48" w:rsidP="009A7E85">
            <w:pPr>
              <w:pStyle w:val="Header"/>
              <w:tabs>
                <w:tab w:val="clear" w:pos="4680"/>
                <w:tab w:val="clear" w:pos="9360"/>
              </w:tabs>
            </w:pPr>
            <w:r w:rsidRPr="00052C97">
              <w:rPr>
                <w:b/>
                <w:bCs/>
              </w:rPr>
              <w:t>4-2.B</w:t>
            </w:r>
            <w:r>
              <w:t xml:space="preserve"> HFA Home Visiting Completion Rate Analysis- Summary</w:t>
            </w:r>
          </w:p>
        </w:tc>
        <w:tc>
          <w:tcPr>
            <w:tcW w:w="1980" w:type="dxa"/>
          </w:tcPr>
          <w:p w14:paraId="28D407C4" w14:textId="77777777" w:rsidR="00974D48" w:rsidRDefault="00974D48" w:rsidP="009A7E85">
            <w:r>
              <w:t>Accreditation</w:t>
            </w:r>
          </w:p>
        </w:tc>
        <w:tc>
          <w:tcPr>
            <w:tcW w:w="1800" w:type="dxa"/>
          </w:tcPr>
          <w:p w14:paraId="693AA04D" w14:textId="77777777" w:rsidR="00974D48" w:rsidRDefault="00974D48" w:rsidP="009A7E85">
            <w:r>
              <w:t>All</w:t>
            </w:r>
          </w:p>
        </w:tc>
        <w:tc>
          <w:tcPr>
            <w:tcW w:w="1885" w:type="dxa"/>
          </w:tcPr>
          <w:p w14:paraId="0924895C" w14:textId="77777777" w:rsidR="00974D48" w:rsidRPr="0059080F" w:rsidRDefault="00974D48" w:rsidP="009A7E85">
            <w:pPr>
              <w:rPr>
                <w:b/>
                <w:bCs/>
              </w:rPr>
            </w:pPr>
          </w:p>
        </w:tc>
      </w:tr>
      <w:tr w:rsidR="00974D48" w14:paraId="492429DA" w14:textId="77777777" w:rsidTr="009A7E85">
        <w:tc>
          <w:tcPr>
            <w:tcW w:w="3685" w:type="dxa"/>
          </w:tcPr>
          <w:p w14:paraId="415B3718" w14:textId="77777777" w:rsidR="00974D48" w:rsidRDefault="00974D48" w:rsidP="009A7E85">
            <w:pPr>
              <w:pStyle w:val="Header"/>
              <w:tabs>
                <w:tab w:val="clear" w:pos="4680"/>
                <w:tab w:val="clear" w:pos="9360"/>
              </w:tabs>
            </w:pPr>
            <w:r>
              <w:t>Performance Targets for 4 Quarters</w:t>
            </w:r>
          </w:p>
          <w:p w14:paraId="635D7DAA" w14:textId="77777777" w:rsidR="00974D48" w:rsidRDefault="00974D48" w:rsidP="009A7E85">
            <w:pPr>
              <w:pStyle w:val="Header"/>
              <w:tabs>
                <w:tab w:val="clear" w:pos="4680"/>
                <w:tab w:val="clear" w:pos="9360"/>
              </w:tabs>
            </w:pPr>
          </w:p>
        </w:tc>
        <w:tc>
          <w:tcPr>
            <w:tcW w:w="1980" w:type="dxa"/>
          </w:tcPr>
          <w:p w14:paraId="14AADCD2" w14:textId="77777777" w:rsidR="00974D48" w:rsidRDefault="00974D48" w:rsidP="009A7E85">
            <w:r>
              <w:t>Quarterlies</w:t>
            </w:r>
          </w:p>
        </w:tc>
        <w:tc>
          <w:tcPr>
            <w:tcW w:w="1800" w:type="dxa"/>
          </w:tcPr>
          <w:p w14:paraId="79E613A4" w14:textId="77777777" w:rsidR="00974D48" w:rsidRDefault="00974D48" w:rsidP="009A7E85">
            <w:r>
              <w:t>All</w:t>
            </w:r>
          </w:p>
        </w:tc>
        <w:tc>
          <w:tcPr>
            <w:tcW w:w="1885" w:type="dxa"/>
          </w:tcPr>
          <w:p w14:paraId="0A8C72FE" w14:textId="77777777" w:rsidR="00974D48" w:rsidRPr="0059080F" w:rsidRDefault="00974D48" w:rsidP="009A7E85">
            <w:pPr>
              <w:rPr>
                <w:b/>
                <w:bCs/>
              </w:rPr>
            </w:pPr>
          </w:p>
        </w:tc>
      </w:tr>
      <w:tr w:rsidR="00974D48" w14:paraId="492DB89F" w14:textId="77777777" w:rsidTr="009A7E85">
        <w:tc>
          <w:tcPr>
            <w:tcW w:w="3685" w:type="dxa"/>
          </w:tcPr>
          <w:p w14:paraId="0B667726" w14:textId="77777777" w:rsidR="00974D48" w:rsidRDefault="00974D48" w:rsidP="009A7E85">
            <w:pPr>
              <w:pStyle w:val="Header"/>
              <w:tabs>
                <w:tab w:val="clear" w:pos="4680"/>
                <w:tab w:val="clear" w:pos="9360"/>
              </w:tabs>
            </w:pPr>
            <w:r w:rsidRPr="00052C97">
              <w:rPr>
                <w:b/>
                <w:bCs/>
              </w:rPr>
              <w:t>1-1.C</w:t>
            </w:r>
            <w:r>
              <w:t xml:space="preserve"> Referral Source Outcome Summary Report</w:t>
            </w:r>
          </w:p>
        </w:tc>
        <w:tc>
          <w:tcPr>
            <w:tcW w:w="1980" w:type="dxa"/>
          </w:tcPr>
          <w:p w14:paraId="74F5B64E" w14:textId="77777777" w:rsidR="00974D48" w:rsidRDefault="00974D48" w:rsidP="009A7E85">
            <w:r>
              <w:t>Accreditation</w:t>
            </w:r>
          </w:p>
        </w:tc>
        <w:tc>
          <w:tcPr>
            <w:tcW w:w="1800" w:type="dxa"/>
          </w:tcPr>
          <w:p w14:paraId="115FD5CF" w14:textId="77777777" w:rsidR="00974D48" w:rsidRDefault="00974D48" w:rsidP="009A7E85">
            <w:r>
              <w:t>All</w:t>
            </w:r>
          </w:p>
        </w:tc>
        <w:tc>
          <w:tcPr>
            <w:tcW w:w="1885" w:type="dxa"/>
          </w:tcPr>
          <w:p w14:paraId="249A2943" w14:textId="77777777" w:rsidR="00974D48" w:rsidRPr="0059080F" w:rsidRDefault="00974D48" w:rsidP="009A7E85">
            <w:pPr>
              <w:rPr>
                <w:b/>
                <w:bCs/>
              </w:rPr>
            </w:pPr>
          </w:p>
        </w:tc>
      </w:tr>
      <w:tr w:rsidR="00974D48" w14:paraId="27793A45" w14:textId="77777777" w:rsidTr="009A7E85">
        <w:tc>
          <w:tcPr>
            <w:tcW w:w="3685" w:type="dxa"/>
          </w:tcPr>
          <w:p w14:paraId="7A1077F6" w14:textId="77777777" w:rsidR="00974D48" w:rsidRDefault="00974D48" w:rsidP="009A7E85">
            <w:pPr>
              <w:pStyle w:val="Header"/>
              <w:tabs>
                <w:tab w:val="clear" w:pos="4680"/>
                <w:tab w:val="clear" w:pos="9360"/>
              </w:tabs>
            </w:pPr>
            <w:r w:rsidRPr="00052C97">
              <w:rPr>
                <w:b/>
                <w:bCs/>
              </w:rPr>
              <w:t>1-2.B</w:t>
            </w:r>
            <w:r>
              <w:t xml:space="preserve"> Initial Engagement Process Report</w:t>
            </w:r>
          </w:p>
        </w:tc>
        <w:tc>
          <w:tcPr>
            <w:tcW w:w="1980" w:type="dxa"/>
          </w:tcPr>
          <w:p w14:paraId="64D70E27" w14:textId="77777777" w:rsidR="00974D48" w:rsidRDefault="00974D48" w:rsidP="009A7E85">
            <w:r>
              <w:t>Accreditation</w:t>
            </w:r>
          </w:p>
        </w:tc>
        <w:tc>
          <w:tcPr>
            <w:tcW w:w="1800" w:type="dxa"/>
          </w:tcPr>
          <w:p w14:paraId="2946DCB0" w14:textId="77777777" w:rsidR="00974D48" w:rsidRDefault="00974D48" w:rsidP="009A7E85">
            <w:r>
              <w:t>First Page</w:t>
            </w:r>
          </w:p>
        </w:tc>
        <w:tc>
          <w:tcPr>
            <w:tcW w:w="1885" w:type="dxa"/>
          </w:tcPr>
          <w:p w14:paraId="1E8D22B5" w14:textId="77777777" w:rsidR="00974D48" w:rsidRPr="0059080F" w:rsidRDefault="00974D48" w:rsidP="009A7E85">
            <w:pPr>
              <w:rPr>
                <w:b/>
                <w:bCs/>
              </w:rPr>
            </w:pPr>
          </w:p>
        </w:tc>
      </w:tr>
      <w:tr w:rsidR="00974D48" w14:paraId="42A40C3D" w14:textId="77777777" w:rsidTr="009A7E85">
        <w:tc>
          <w:tcPr>
            <w:tcW w:w="3685" w:type="dxa"/>
          </w:tcPr>
          <w:p w14:paraId="70BD2B9A" w14:textId="4F0BA470" w:rsidR="00974D48" w:rsidRDefault="00974D48" w:rsidP="009A7E85">
            <w:pPr>
              <w:pStyle w:val="Header"/>
              <w:tabs>
                <w:tab w:val="clear" w:pos="4680"/>
                <w:tab w:val="clear" w:pos="9360"/>
              </w:tabs>
            </w:pPr>
            <w:r w:rsidRPr="00052C97">
              <w:rPr>
                <w:b/>
                <w:bCs/>
              </w:rPr>
              <w:t>1-4.A and B</w:t>
            </w:r>
            <w:r>
              <w:t xml:space="preserve"> Acceptance Rate and Analysis (One-Step</w:t>
            </w:r>
            <w:r w:rsidR="00F9052F">
              <w:t>).</w:t>
            </w:r>
            <w:r>
              <w:t xml:space="preserve"> Use default dates, If the start date is prior to 11/15/2022 you will need to run the two-step report up until 11/14/2022. Run the one step with a start date of 11/15/2022. Please review SLM Annual Service Review-Acceptance and Retention Analyses presentation on HFNY website for more details.</w:t>
            </w:r>
          </w:p>
        </w:tc>
        <w:tc>
          <w:tcPr>
            <w:tcW w:w="1980" w:type="dxa"/>
          </w:tcPr>
          <w:p w14:paraId="243E982D" w14:textId="77777777" w:rsidR="00974D48" w:rsidRDefault="00974D48" w:rsidP="009A7E85">
            <w:r>
              <w:t>Accreditation</w:t>
            </w:r>
          </w:p>
        </w:tc>
        <w:tc>
          <w:tcPr>
            <w:tcW w:w="1800" w:type="dxa"/>
          </w:tcPr>
          <w:p w14:paraId="1060B91D" w14:textId="77777777" w:rsidR="00974D48" w:rsidRDefault="00974D48" w:rsidP="009A7E85">
            <w:r>
              <w:t>All</w:t>
            </w:r>
          </w:p>
        </w:tc>
        <w:tc>
          <w:tcPr>
            <w:tcW w:w="1885" w:type="dxa"/>
          </w:tcPr>
          <w:p w14:paraId="69AA3AF1" w14:textId="77777777" w:rsidR="00974D48" w:rsidRPr="0059080F" w:rsidRDefault="00974D48" w:rsidP="009A7E85">
            <w:pPr>
              <w:rPr>
                <w:b/>
                <w:bCs/>
              </w:rPr>
            </w:pPr>
          </w:p>
        </w:tc>
      </w:tr>
      <w:tr w:rsidR="00974D48" w14:paraId="4B81B8E1" w14:textId="77777777" w:rsidTr="009A7E85">
        <w:tc>
          <w:tcPr>
            <w:tcW w:w="3685" w:type="dxa"/>
          </w:tcPr>
          <w:p w14:paraId="2A764E16" w14:textId="77777777" w:rsidR="00974D48" w:rsidRDefault="00974D48" w:rsidP="009A7E85">
            <w:pPr>
              <w:pStyle w:val="Header"/>
              <w:tabs>
                <w:tab w:val="clear" w:pos="4680"/>
                <w:tab w:val="clear" w:pos="9360"/>
              </w:tabs>
            </w:pPr>
            <w:r>
              <w:t>Capacity Building (One-Step)</w:t>
            </w:r>
          </w:p>
          <w:p w14:paraId="179E783D" w14:textId="77777777" w:rsidR="00974D48" w:rsidRDefault="00974D48" w:rsidP="009A7E85">
            <w:pPr>
              <w:pStyle w:val="Header"/>
              <w:tabs>
                <w:tab w:val="clear" w:pos="4680"/>
                <w:tab w:val="clear" w:pos="9360"/>
              </w:tabs>
            </w:pPr>
          </w:p>
        </w:tc>
        <w:tc>
          <w:tcPr>
            <w:tcW w:w="1980" w:type="dxa"/>
          </w:tcPr>
          <w:p w14:paraId="35777242" w14:textId="77777777" w:rsidR="00974D48" w:rsidRDefault="00974D48" w:rsidP="009A7E85">
            <w:r>
              <w:t>Analysis</w:t>
            </w:r>
          </w:p>
        </w:tc>
        <w:tc>
          <w:tcPr>
            <w:tcW w:w="1800" w:type="dxa"/>
          </w:tcPr>
          <w:p w14:paraId="42672D5C" w14:textId="77777777" w:rsidR="00974D48" w:rsidRDefault="00974D48" w:rsidP="009A7E85">
            <w:r>
              <w:t>All</w:t>
            </w:r>
          </w:p>
        </w:tc>
        <w:tc>
          <w:tcPr>
            <w:tcW w:w="1885" w:type="dxa"/>
          </w:tcPr>
          <w:p w14:paraId="0B440508" w14:textId="77777777" w:rsidR="00974D48" w:rsidRPr="0059080F" w:rsidRDefault="00974D48" w:rsidP="009A7E85">
            <w:pPr>
              <w:rPr>
                <w:b/>
                <w:bCs/>
              </w:rPr>
            </w:pPr>
          </w:p>
        </w:tc>
      </w:tr>
      <w:tr w:rsidR="00974D48" w14:paraId="35B7ECDC" w14:textId="77777777" w:rsidTr="009A7E85">
        <w:tc>
          <w:tcPr>
            <w:tcW w:w="3685" w:type="dxa"/>
          </w:tcPr>
          <w:p w14:paraId="4A9E79B0" w14:textId="77777777" w:rsidR="00974D48" w:rsidRPr="001D6306" w:rsidRDefault="00974D48" w:rsidP="009A7E85">
            <w:pPr>
              <w:pStyle w:val="Header"/>
              <w:tabs>
                <w:tab w:val="clear" w:pos="4680"/>
                <w:tab w:val="clear" w:pos="9360"/>
              </w:tabs>
            </w:pPr>
            <w:r w:rsidRPr="001D6306">
              <w:rPr>
                <w:b/>
                <w:bCs/>
              </w:rPr>
              <w:t>12-1.B</w:t>
            </w:r>
            <w:r>
              <w:rPr>
                <w:b/>
                <w:bCs/>
              </w:rPr>
              <w:t xml:space="preserve"> </w:t>
            </w:r>
            <w:r>
              <w:t>Regularly scheduled and Protected Supervision – Summary (Site Option)</w:t>
            </w:r>
          </w:p>
        </w:tc>
        <w:tc>
          <w:tcPr>
            <w:tcW w:w="1980" w:type="dxa"/>
          </w:tcPr>
          <w:p w14:paraId="3CAF28A2" w14:textId="77777777" w:rsidR="00974D48" w:rsidRDefault="00974D48" w:rsidP="009A7E85">
            <w:r>
              <w:t>Accreditation</w:t>
            </w:r>
          </w:p>
        </w:tc>
        <w:tc>
          <w:tcPr>
            <w:tcW w:w="1800" w:type="dxa"/>
          </w:tcPr>
          <w:p w14:paraId="26B6A492" w14:textId="77777777" w:rsidR="00974D48" w:rsidRDefault="00974D48" w:rsidP="009A7E85">
            <w:r>
              <w:t>All</w:t>
            </w:r>
          </w:p>
        </w:tc>
        <w:tc>
          <w:tcPr>
            <w:tcW w:w="1885" w:type="dxa"/>
          </w:tcPr>
          <w:p w14:paraId="47D44716" w14:textId="77777777" w:rsidR="00974D48" w:rsidRPr="0059080F" w:rsidRDefault="00974D48" w:rsidP="009A7E85">
            <w:pPr>
              <w:rPr>
                <w:b/>
                <w:bCs/>
              </w:rPr>
            </w:pPr>
          </w:p>
        </w:tc>
      </w:tr>
      <w:bookmarkEnd w:id="0"/>
    </w:tbl>
    <w:p w14:paraId="2A7038D6" w14:textId="6536A97D" w:rsidR="00E425A4" w:rsidRDefault="00E425A4" w:rsidP="0059080F"/>
    <w:p w14:paraId="1235F407" w14:textId="461839DA" w:rsidR="001018E8" w:rsidRDefault="001018E8" w:rsidP="0059080F">
      <w:r>
        <w:t>Tips for pulling reports from MIS:</w:t>
      </w:r>
    </w:p>
    <w:p w14:paraId="7E4151A5" w14:textId="59343362" w:rsidR="001018E8" w:rsidRDefault="00060BD9" w:rsidP="001018E8">
      <w:pPr>
        <w:pStyle w:val="ListParagraph"/>
        <w:numPr>
          <w:ilvl w:val="0"/>
          <w:numId w:val="3"/>
        </w:numPr>
      </w:pPr>
      <w:r>
        <w:t xml:space="preserve">Utilizing the search tool and/or filters ribbon on the report catalog page can help the user navigate to the correct report swiftly.  For example, if you wanted to run the Home Visit Log Summary: </w:t>
      </w:r>
    </w:p>
    <w:p w14:paraId="3713FB8D" w14:textId="22E0FE87" w:rsidR="00060BD9" w:rsidRDefault="00060BD9" w:rsidP="00060BD9">
      <w:pPr>
        <w:pStyle w:val="ListParagraph"/>
        <w:numPr>
          <w:ilvl w:val="1"/>
          <w:numId w:val="3"/>
        </w:numPr>
      </w:pPr>
      <w:r>
        <w:t>Once you’ve clicked on the Reports tab, click on the Quarterlies tab (located in the filters ribbon at the top)</w:t>
      </w:r>
      <w:r w:rsidR="00E425A4">
        <w:t>. Notice how it the number of reports shown went down!</w:t>
      </w:r>
    </w:p>
    <w:p w14:paraId="2D8448A7" w14:textId="72528C20" w:rsidR="00060BD9" w:rsidRDefault="00060BD9" w:rsidP="00060BD9">
      <w:pPr>
        <w:pStyle w:val="ListParagraph"/>
        <w:numPr>
          <w:ilvl w:val="1"/>
          <w:numId w:val="3"/>
        </w:numPr>
      </w:pPr>
      <w:r>
        <w:t>Scroll down until you find the Home Visit Log Summary</w:t>
      </w:r>
    </w:p>
    <w:p w14:paraId="181B24B1" w14:textId="2D82B689" w:rsidR="00E425A4" w:rsidRDefault="00E425A4" w:rsidP="00E425A4">
      <w:pPr>
        <w:pStyle w:val="Header"/>
        <w:tabs>
          <w:tab w:val="clear" w:pos="4680"/>
          <w:tab w:val="clear" w:pos="9360"/>
        </w:tabs>
        <w:spacing w:after="160" w:line="259" w:lineRule="auto"/>
        <w:rPr>
          <w:noProof/>
        </w:rPr>
      </w:pPr>
      <w:r>
        <w:rPr>
          <w:noProof/>
        </w:rPr>
        <w:lastRenderedPageBreak/>
        <w:drawing>
          <wp:inline distT="0" distB="0" distL="0" distR="0" wp14:anchorId="0AA1652A" wp14:editId="3AFC9E82">
            <wp:extent cx="6286500" cy="2597150"/>
            <wp:effectExtent l="19050" t="19050" r="19050" b="1270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286500" cy="2597150"/>
                    </a:xfrm>
                    <a:prstGeom prst="rect">
                      <a:avLst/>
                    </a:prstGeom>
                    <a:ln>
                      <a:solidFill>
                        <a:schemeClr val="accent1"/>
                      </a:solidFill>
                    </a:ln>
                  </pic:spPr>
                </pic:pic>
              </a:graphicData>
            </a:graphic>
          </wp:inline>
        </w:drawing>
      </w:r>
    </w:p>
    <w:p w14:paraId="27AAFDDE" w14:textId="77777777" w:rsidR="00BD1B52" w:rsidRPr="00BD1B52" w:rsidRDefault="00BD1B52" w:rsidP="00BD1B52">
      <w:pPr>
        <w:pStyle w:val="Heading1"/>
        <w:jc w:val="center"/>
        <w:rPr>
          <w:b/>
          <w:bCs/>
        </w:rPr>
      </w:pPr>
      <w:r w:rsidRPr="00BD1B52">
        <w:rPr>
          <w:b/>
          <w:bCs/>
        </w:rPr>
        <w:t>Quarterly Report Guidelines and Data Reports</w:t>
      </w:r>
    </w:p>
    <w:p w14:paraId="798C2CCD" w14:textId="77777777" w:rsidR="00BD1B52" w:rsidRDefault="00BD1B52" w:rsidP="00BD1B52">
      <w:pPr>
        <w:pStyle w:val="Header"/>
        <w:tabs>
          <w:tab w:val="clear" w:pos="4680"/>
          <w:tab w:val="clear" w:pos="9360"/>
        </w:tabs>
        <w:spacing w:after="160" w:line="259" w:lineRule="auto"/>
        <w:jc w:val="center"/>
        <w:rPr>
          <w:noProof/>
        </w:rPr>
      </w:pPr>
    </w:p>
    <w:p w14:paraId="5B0B734E" w14:textId="6B8FD002" w:rsidR="00E425A4" w:rsidRDefault="00E425A4" w:rsidP="00E425A4">
      <w:pPr>
        <w:pStyle w:val="Header"/>
        <w:numPr>
          <w:ilvl w:val="0"/>
          <w:numId w:val="3"/>
        </w:numPr>
        <w:tabs>
          <w:tab w:val="clear" w:pos="4680"/>
          <w:tab w:val="clear" w:pos="9360"/>
        </w:tabs>
        <w:spacing w:after="160" w:line="259" w:lineRule="auto"/>
        <w:rPr>
          <w:noProof/>
        </w:rPr>
      </w:pPr>
      <w:r w:rsidRPr="00E425A4">
        <w:rPr>
          <w:noProof/>
        </w:rPr>
        <w:t>2. The user can also utilize the search option (located on the top right-hand corner of reports page). It’s recommended that the user first click on the All tab in the filters ribbon and then type key word(s) in search box to locate desired report.</w:t>
      </w:r>
    </w:p>
    <w:p w14:paraId="319A479C" w14:textId="493C4FC6" w:rsidR="00E425A4" w:rsidRDefault="00BB028B" w:rsidP="00E425A4">
      <w:pPr>
        <w:pStyle w:val="Header"/>
        <w:tabs>
          <w:tab w:val="clear" w:pos="4680"/>
          <w:tab w:val="clear" w:pos="9360"/>
        </w:tabs>
        <w:spacing w:after="160" w:line="259" w:lineRule="auto"/>
        <w:rPr>
          <w:noProof/>
        </w:rPr>
      </w:pPr>
      <w:r>
        <w:rPr>
          <w:noProof/>
        </w:rPr>
        <w:drawing>
          <wp:inline distT="0" distB="0" distL="0" distR="0" wp14:anchorId="29CD4D14" wp14:editId="6B0FD666">
            <wp:extent cx="6457570" cy="1155602"/>
            <wp:effectExtent l="19050" t="19050" r="19685" b="26035"/>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533704" cy="1169226"/>
                    </a:xfrm>
                    <a:prstGeom prst="rect">
                      <a:avLst/>
                    </a:prstGeom>
                    <a:ln>
                      <a:solidFill>
                        <a:schemeClr val="accent1"/>
                      </a:solidFill>
                    </a:ln>
                  </pic:spPr>
                </pic:pic>
              </a:graphicData>
            </a:graphic>
          </wp:inline>
        </w:drawing>
      </w:r>
    </w:p>
    <w:p w14:paraId="73344385" w14:textId="77777777" w:rsidR="006219D8" w:rsidRDefault="006219D8" w:rsidP="00E425A4">
      <w:pPr>
        <w:pStyle w:val="Header"/>
        <w:tabs>
          <w:tab w:val="clear" w:pos="4680"/>
          <w:tab w:val="clear" w:pos="9360"/>
        </w:tabs>
        <w:spacing w:after="160" w:line="259" w:lineRule="auto"/>
        <w:rPr>
          <w:b/>
          <w:bCs/>
          <w:noProof/>
        </w:rPr>
      </w:pPr>
    </w:p>
    <w:p w14:paraId="59E85174" w14:textId="069091C1" w:rsidR="00BB028B" w:rsidRDefault="00BB028B" w:rsidP="00E425A4">
      <w:pPr>
        <w:pStyle w:val="Header"/>
        <w:tabs>
          <w:tab w:val="clear" w:pos="4680"/>
          <w:tab w:val="clear" w:pos="9360"/>
        </w:tabs>
        <w:spacing w:after="160" w:line="259" w:lineRule="auto"/>
        <w:rPr>
          <w:b/>
          <w:bCs/>
          <w:noProof/>
        </w:rPr>
      </w:pPr>
      <w:r w:rsidRPr="00BD1B52">
        <w:rPr>
          <w:b/>
          <w:bCs/>
          <w:noProof/>
        </w:rPr>
        <w:t xml:space="preserve">Tips/Reminders </w:t>
      </w:r>
      <w:r w:rsidR="00BD1B52" w:rsidRPr="00BD1B52">
        <w:rPr>
          <w:b/>
          <w:bCs/>
          <w:noProof/>
        </w:rPr>
        <w:t>for completing quarterly report narratives:</w:t>
      </w:r>
    </w:p>
    <w:p w14:paraId="51709526" w14:textId="1B24816B" w:rsidR="00BD1B52" w:rsidRDefault="00543164" w:rsidP="00E425A4">
      <w:pPr>
        <w:pStyle w:val="Header"/>
        <w:numPr>
          <w:ilvl w:val="0"/>
          <w:numId w:val="3"/>
        </w:numPr>
        <w:tabs>
          <w:tab w:val="clear" w:pos="4680"/>
          <w:tab w:val="clear" w:pos="9360"/>
        </w:tabs>
        <w:spacing w:after="160" w:line="259" w:lineRule="auto"/>
        <w:rPr>
          <w:noProof/>
        </w:rPr>
      </w:pPr>
      <w:r w:rsidRPr="00A212B2">
        <w:rPr>
          <w:noProof/>
        </w:rPr>
        <w:t>Referencing the quarterly report data checklist and running the reports listed will help to complete quarterly reports</w:t>
      </w:r>
      <w:r w:rsidR="005C61E0">
        <w:rPr>
          <w:noProof/>
        </w:rPr>
        <w:t>.</w:t>
      </w:r>
    </w:p>
    <w:p w14:paraId="35E5C52E" w14:textId="6285B31F" w:rsidR="005C61E0" w:rsidRDefault="005C61E0" w:rsidP="00E425A4">
      <w:pPr>
        <w:pStyle w:val="Header"/>
        <w:numPr>
          <w:ilvl w:val="0"/>
          <w:numId w:val="3"/>
        </w:numPr>
        <w:tabs>
          <w:tab w:val="clear" w:pos="4680"/>
          <w:tab w:val="clear" w:pos="9360"/>
        </w:tabs>
        <w:spacing w:after="160" w:line="259" w:lineRule="auto"/>
        <w:rPr>
          <w:noProof/>
        </w:rPr>
      </w:pPr>
      <w:r>
        <w:rPr>
          <w:noProof/>
        </w:rPr>
        <w:t>Please include narrative based on your review/analysis of Length of Time Between Key Pre-Enrollment Dates and Home Visit Log Summarry from MIS.</w:t>
      </w:r>
    </w:p>
    <w:p w14:paraId="0EBF532C" w14:textId="3E359084" w:rsidR="005C61E0" w:rsidRDefault="005C61E0" w:rsidP="00E425A4">
      <w:pPr>
        <w:pStyle w:val="Header"/>
        <w:numPr>
          <w:ilvl w:val="0"/>
          <w:numId w:val="3"/>
        </w:numPr>
        <w:tabs>
          <w:tab w:val="clear" w:pos="4680"/>
          <w:tab w:val="clear" w:pos="9360"/>
        </w:tabs>
        <w:spacing w:after="160" w:line="259" w:lineRule="auto"/>
        <w:rPr>
          <w:noProof/>
        </w:rPr>
      </w:pPr>
      <w:r>
        <w:rPr>
          <w:noProof/>
        </w:rPr>
        <w:t>To Determine the number of father figures that participated in FROGS and home visits for the quarter, refer to the Aggregate Counts Report. Enter the start and end date accordinlgy and run report. The information can be found uner the FROG and Home Visits section of the report.</w:t>
      </w:r>
    </w:p>
    <w:p w14:paraId="27F5F325" w14:textId="0BB1563B" w:rsidR="005C61E0" w:rsidRDefault="00612269" w:rsidP="00E425A4">
      <w:pPr>
        <w:pStyle w:val="Header"/>
        <w:numPr>
          <w:ilvl w:val="0"/>
          <w:numId w:val="3"/>
        </w:numPr>
        <w:tabs>
          <w:tab w:val="clear" w:pos="4680"/>
          <w:tab w:val="clear" w:pos="9360"/>
        </w:tabs>
        <w:spacing w:after="160" w:line="259" w:lineRule="auto"/>
        <w:rPr>
          <w:noProof/>
        </w:rPr>
      </w:pPr>
      <w:bookmarkStart w:id="1" w:name="_Hlk140498948"/>
      <w:r>
        <w:rPr>
          <w:noProof/>
        </w:rPr>
        <w:t>For more detailed information on uploading documents into CMS please refer to the “</w:t>
      </w:r>
      <w:r w:rsidR="00B83918">
        <w:rPr>
          <w:noProof/>
        </w:rPr>
        <w:t>Uploading Claim Documents</w:t>
      </w:r>
      <w:r>
        <w:rPr>
          <w:noProof/>
        </w:rPr>
        <w:t>”</w:t>
      </w:r>
      <w:r w:rsidR="00B83918">
        <w:rPr>
          <w:noProof/>
        </w:rPr>
        <w:t xml:space="preserve">section of the CMS Manual </w:t>
      </w:r>
      <w:r>
        <w:rPr>
          <w:noProof/>
        </w:rPr>
        <w:t>located on the OCFS website</w:t>
      </w:r>
      <w:bookmarkEnd w:id="1"/>
      <w:r w:rsidR="00B83918">
        <w:rPr>
          <w:noProof/>
        </w:rPr>
        <w:t>.</w:t>
      </w:r>
    </w:p>
    <w:p w14:paraId="07FFA056" w14:textId="77777777" w:rsidR="00B83918" w:rsidRPr="00DB5427" w:rsidRDefault="00B83918" w:rsidP="00B83918">
      <w:pPr>
        <w:pStyle w:val="Header"/>
        <w:tabs>
          <w:tab w:val="clear" w:pos="4680"/>
          <w:tab w:val="clear" w:pos="9360"/>
        </w:tabs>
        <w:spacing w:after="160" w:line="259" w:lineRule="auto"/>
        <w:rPr>
          <w:noProof/>
        </w:rPr>
      </w:pPr>
    </w:p>
    <w:sectPr w:rsidR="00B83918" w:rsidRPr="00DB5427" w:rsidSect="00B939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DBDB" w14:textId="77777777" w:rsidR="007D15E2" w:rsidRDefault="007D15E2" w:rsidP="002A5A6C">
      <w:pPr>
        <w:spacing w:after="0" w:line="240" w:lineRule="auto"/>
      </w:pPr>
      <w:r>
        <w:separator/>
      </w:r>
    </w:p>
  </w:endnote>
  <w:endnote w:type="continuationSeparator" w:id="0">
    <w:p w14:paraId="5EFB8BF7" w14:textId="77777777" w:rsidR="007D15E2" w:rsidRDefault="007D15E2" w:rsidP="002A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36940"/>
      <w:docPartObj>
        <w:docPartGallery w:val="Page Numbers (Bottom of Page)"/>
        <w:docPartUnique/>
      </w:docPartObj>
    </w:sdtPr>
    <w:sdtEndPr>
      <w:rPr>
        <w:noProof/>
      </w:rPr>
    </w:sdtEndPr>
    <w:sdtContent>
      <w:p w14:paraId="448E15D7" w14:textId="0C629F67" w:rsidR="006219D8" w:rsidRDefault="00621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DF3FF" w14:textId="34087C1C" w:rsidR="002A5A6C" w:rsidRDefault="002A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9391" w14:textId="77777777" w:rsidR="007D15E2" w:rsidRDefault="007D15E2" w:rsidP="002A5A6C">
      <w:pPr>
        <w:spacing w:after="0" w:line="240" w:lineRule="auto"/>
      </w:pPr>
      <w:r>
        <w:separator/>
      </w:r>
    </w:p>
  </w:footnote>
  <w:footnote w:type="continuationSeparator" w:id="0">
    <w:p w14:paraId="7AEB3770" w14:textId="77777777" w:rsidR="007D15E2" w:rsidRDefault="007D15E2" w:rsidP="002A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942"/>
    <w:multiLevelType w:val="hybridMultilevel"/>
    <w:tmpl w:val="BFEE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65C7C"/>
    <w:multiLevelType w:val="hybridMultilevel"/>
    <w:tmpl w:val="90BA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72F34"/>
    <w:multiLevelType w:val="hybridMultilevel"/>
    <w:tmpl w:val="3AA0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70454">
    <w:abstractNumId w:val="0"/>
  </w:num>
  <w:num w:numId="2" w16cid:durableId="571307111">
    <w:abstractNumId w:val="1"/>
  </w:num>
  <w:num w:numId="3" w16cid:durableId="1292904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D2"/>
    <w:rsid w:val="00006025"/>
    <w:rsid w:val="00060BD9"/>
    <w:rsid w:val="00094611"/>
    <w:rsid w:val="001018E8"/>
    <w:rsid w:val="0020065C"/>
    <w:rsid w:val="002A00EA"/>
    <w:rsid w:val="002A5A6C"/>
    <w:rsid w:val="002D3A66"/>
    <w:rsid w:val="003A4FBD"/>
    <w:rsid w:val="00543164"/>
    <w:rsid w:val="0059080F"/>
    <w:rsid w:val="005C61E0"/>
    <w:rsid w:val="005F75B3"/>
    <w:rsid w:val="00612269"/>
    <w:rsid w:val="006219D8"/>
    <w:rsid w:val="00661E95"/>
    <w:rsid w:val="00732825"/>
    <w:rsid w:val="007D15E2"/>
    <w:rsid w:val="007E4A39"/>
    <w:rsid w:val="00812D4D"/>
    <w:rsid w:val="0095375D"/>
    <w:rsid w:val="00974D48"/>
    <w:rsid w:val="009B5820"/>
    <w:rsid w:val="00A212B2"/>
    <w:rsid w:val="00B83918"/>
    <w:rsid w:val="00B939AF"/>
    <w:rsid w:val="00BB028B"/>
    <w:rsid w:val="00BD1B52"/>
    <w:rsid w:val="00C04479"/>
    <w:rsid w:val="00C314C1"/>
    <w:rsid w:val="00D06727"/>
    <w:rsid w:val="00D163E6"/>
    <w:rsid w:val="00D671EB"/>
    <w:rsid w:val="00DB5427"/>
    <w:rsid w:val="00DD0524"/>
    <w:rsid w:val="00E425A4"/>
    <w:rsid w:val="00F30BB7"/>
    <w:rsid w:val="00F9052F"/>
    <w:rsid w:val="00FD2C9D"/>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05F"/>
  <w15:chartTrackingRefBased/>
  <w15:docId w15:val="{04AB75AD-4BD3-4373-9A2B-D6A19A73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C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C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5427"/>
    <w:pPr>
      <w:ind w:left="720"/>
      <w:contextualSpacing/>
    </w:pPr>
  </w:style>
  <w:style w:type="paragraph" w:styleId="Header">
    <w:name w:val="header"/>
    <w:basedOn w:val="Normal"/>
    <w:link w:val="HeaderChar"/>
    <w:uiPriority w:val="99"/>
    <w:unhideWhenUsed/>
    <w:rsid w:val="002A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6C"/>
  </w:style>
  <w:style w:type="paragraph" w:styleId="Footer">
    <w:name w:val="footer"/>
    <w:basedOn w:val="Normal"/>
    <w:link w:val="FooterChar"/>
    <w:uiPriority w:val="99"/>
    <w:unhideWhenUsed/>
    <w:rsid w:val="002A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6C"/>
  </w:style>
  <w:style w:type="table" w:styleId="TableGrid">
    <w:name w:val="Table Grid"/>
    <w:basedOn w:val="TableNormal"/>
    <w:uiPriority w:val="39"/>
    <w:rsid w:val="0059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83918"/>
    <w:rPr>
      <w:color w:val="0563C1"/>
      <w:u w:val="single"/>
    </w:rPr>
  </w:style>
  <w:style w:type="paragraph" w:styleId="NormalWeb">
    <w:name w:val="Normal (Web)"/>
    <w:basedOn w:val="Normal"/>
    <w:uiPriority w:val="99"/>
    <w:semiHidden/>
    <w:unhideWhenUsed/>
    <w:rsid w:val="00D067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5762">
      <w:bodyDiv w:val="1"/>
      <w:marLeft w:val="0"/>
      <w:marRight w:val="0"/>
      <w:marTop w:val="0"/>
      <w:marBottom w:val="0"/>
      <w:divBdr>
        <w:top w:val="none" w:sz="0" w:space="0" w:color="auto"/>
        <w:left w:val="none" w:sz="0" w:space="0" w:color="auto"/>
        <w:bottom w:val="none" w:sz="0" w:space="0" w:color="auto"/>
        <w:right w:val="none" w:sz="0" w:space="0" w:color="auto"/>
      </w:divBdr>
    </w:div>
    <w:div w:id="14660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D779-3B4C-4679-AE35-7E06D230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Corinne M</dc:creator>
  <cp:keywords/>
  <dc:description/>
  <cp:lastModifiedBy>Harry, Suzan H (OCFS)</cp:lastModifiedBy>
  <cp:revision>3</cp:revision>
  <dcterms:created xsi:type="dcterms:W3CDTF">2023-08-04T20:00:00Z</dcterms:created>
  <dcterms:modified xsi:type="dcterms:W3CDTF">2023-08-04T20:11:00Z</dcterms:modified>
</cp:coreProperties>
</file>